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9341"/>
      </w:tblGrid>
      <w:tr w:rsidR="00336D6B" w:rsidTr="003820C9">
        <w:trPr>
          <w:trHeight w:val="1131"/>
        </w:trPr>
        <w:tc>
          <w:tcPr>
            <w:tcW w:w="1266" w:type="dxa"/>
          </w:tcPr>
          <w:p w:rsidR="00336D6B" w:rsidRDefault="00336D6B" w:rsidP="00C75F4B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336D6B">
              <w:rPr>
                <w:rFonts w:ascii="Arial" w:hAnsi="Arial" w:cs="Arial"/>
                <w:noProof/>
                <w:lang w:eastAsia="sr-Latn-RS"/>
              </w:rPr>
              <w:drawing>
                <wp:inline distT="0" distB="0" distL="0" distR="0" wp14:anchorId="0502B081" wp14:editId="533A0620">
                  <wp:extent cx="664281" cy="691764"/>
                  <wp:effectExtent l="0" t="0" r="2540" b="0"/>
                  <wp:docPr id="18" name="Picture 18" descr="F:\IKONICE\17503613-illustration-curious-owl-with-a-magnifying-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KONICE\17503613-illustration-curious-owl-with-a-magnifying-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99" cy="69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1" w:type="dxa"/>
          </w:tcPr>
          <w:p w:rsidR="00336D6B" w:rsidRPr="00C71211" w:rsidRDefault="00336D6B" w:rsidP="00336D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Пажљиво прочитајте 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 протистима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3820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извуци непознате појмове из текста (само их запиши у свеску),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затим одговори на питања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BA5F63" w:rsidRDefault="00BA5F63" w:rsidP="00C75F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36D6B" w:rsidRDefault="00BA5F63" w:rsidP="00BA5F63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 него што су протисти били издвојени као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посебно 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царство, ботаничари су аутотрофне протисте (једноћелијске алге) изучавали као биљке, а зоолози, </w:t>
            </w:r>
          </w:p>
        </w:tc>
      </w:tr>
    </w:tbl>
    <w:p w:rsidR="006C22A4" w:rsidRDefault="00BA5F63" w:rsidP="00C71211">
      <w:pPr>
        <w:pStyle w:val="NoSpacing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C71211">
        <w:rPr>
          <w:rFonts w:ascii="Times New Roman" w:hAnsi="Times New Roman" w:cs="Times New Roman"/>
          <w:sz w:val="24"/>
          <w:szCs w:val="24"/>
          <w:lang w:val="sr-Cyrl-CS"/>
        </w:rPr>
        <w:t>хетеротрофне</w:t>
      </w:r>
      <w:r w:rsidRPr="00C71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71211">
        <w:rPr>
          <w:rFonts w:ascii="Times New Roman" w:hAnsi="Times New Roman" w:cs="Times New Roman"/>
          <w:sz w:val="24"/>
          <w:szCs w:val="24"/>
          <w:lang w:val="sr-Cyrl-CS"/>
        </w:rPr>
        <w:t>облике протиста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71211">
        <w:rPr>
          <w:rFonts w:ascii="Times New Roman" w:hAnsi="Times New Roman" w:cs="Times New Roman"/>
          <w:sz w:val="24"/>
          <w:szCs w:val="24"/>
          <w:lang w:val="sr-Cyrl-CS"/>
        </w:rPr>
        <w:t xml:space="preserve"> као животиње (протозоа).</w:t>
      </w:r>
    </w:p>
    <w:p w:rsidR="00BA5F63" w:rsidRPr="00C71211" w:rsidRDefault="00BA5F63" w:rsidP="00BA5F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71211">
        <w:rPr>
          <w:rFonts w:ascii="Times New Roman" w:hAnsi="Times New Roman" w:cs="Times New Roman"/>
          <w:sz w:val="24"/>
          <w:szCs w:val="24"/>
          <w:lang w:val="sr-Cyrl-CS"/>
        </w:rPr>
        <w:t>Овакав приступ је и сада актуелан из многих разлога због тога што је сигурно да су животиње еволуирале од хетеротрофних протиста, а биљке од аутотрофних. Међутим, неопходно је истаћи да многе друге форме међу протистима немају познатих вишећелијских сродника, што оправдава њихово разликовање као посебног царства.</w:t>
      </w:r>
    </w:p>
    <w:p w:rsidR="00BA5F63" w:rsidRDefault="00BA5F63" w:rsidP="00C71211">
      <w:pPr>
        <w:pStyle w:val="NoSpacing"/>
        <w:rPr>
          <w:rFonts w:ascii="Arial" w:eastAsia="Times New Roman" w:hAnsi="Arial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64"/>
      </w:tblGrid>
      <w:tr w:rsidR="00336D6B" w:rsidRPr="00C71211" w:rsidTr="003820C9">
        <w:trPr>
          <w:trHeight w:val="1197"/>
        </w:trPr>
        <w:tc>
          <w:tcPr>
            <w:tcW w:w="1809" w:type="dxa"/>
          </w:tcPr>
          <w:p w:rsidR="00336D6B" w:rsidRPr="00C71211" w:rsidRDefault="00336D6B" w:rsidP="005C00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36D6B">
              <w:rPr>
                <w:noProof/>
                <w:lang w:eastAsia="sr-Latn-RS"/>
              </w:rPr>
              <w:drawing>
                <wp:inline distT="0" distB="0" distL="0" distR="0" wp14:anchorId="4C3E7059" wp14:editId="1268EAD0">
                  <wp:extent cx="968660" cy="748090"/>
                  <wp:effectExtent l="0" t="0" r="3175" b="0"/>
                  <wp:docPr id="21" name="Picture 21" descr="http://enfo.agt.bme.hu/drupal/sites/default/files/Tetrahymena_pyriform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fo.agt.bme.hu/drupal/sites/default/files/Tetrahymena_pyriform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73" cy="7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4" w:type="dxa"/>
          </w:tcPr>
          <w:p w:rsidR="00336D6B" w:rsidRDefault="00336D6B" w:rsidP="005C00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Неке врсте протозоа користе се као тест организми за одређивање акутних и хроничних ефеката нов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их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развијених хемикалија.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овом процесу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користи п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ротозоа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Т</w:t>
            </w:r>
            <w:proofErr w:type="spellStart"/>
            <w:r w:rsidRPr="00336D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etrahymena</w:t>
            </w:r>
            <w:proofErr w:type="spellEnd"/>
            <w:r w:rsidRPr="00336D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36D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pyriformis</w:t>
            </w:r>
            <w:proofErr w:type="spellEnd"/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336D6B" w:rsidRPr="00C71211" w:rsidRDefault="00336D6B" w:rsidP="00336D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Свак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јединка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ове врсте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храни се другом врстом хемикалиј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већом дозом</w:t>
            </w:r>
          </w:p>
        </w:tc>
      </w:tr>
    </w:tbl>
    <w:p w:rsidR="00C71211" w:rsidRDefault="00336D6B" w:rsidP="00C7121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C71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C71211">
        <w:rPr>
          <w:rFonts w:ascii="Times New Roman" w:hAnsi="Times New Roman" w:cs="Times New Roman"/>
          <w:sz w:val="24"/>
          <w:szCs w:val="24"/>
          <w:lang w:val="sr-Cyrl-CS"/>
        </w:rPr>
        <w:t xml:space="preserve"> хемикалије.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1211" w:rsidRPr="00C71211">
        <w:rPr>
          <w:rFonts w:ascii="Times New Roman" w:hAnsi="Times New Roman" w:cs="Times New Roman"/>
          <w:sz w:val="24"/>
          <w:szCs w:val="24"/>
          <w:lang w:val="sr-Cyrl-CS"/>
        </w:rPr>
        <w:t>Прати се смртност јединки на тај начин одређује ниво токсичности нових хемикалија. Ова процедура је веома корисна у одређивању ефеката пестицида и провере токсичности нових производа за уклањање непожељних врста.</w:t>
      </w:r>
    </w:p>
    <w:p w:rsidR="00BA5F63" w:rsidRDefault="00BA5F63" w:rsidP="00C7121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A5F63" w:rsidRDefault="00BA5F63" w:rsidP="00BA5F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71211">
        <w:rPr>
          <w:rFonts w:ascii="Times New Roman" w:hAnsi="Times New Roman" w:cs="Times New Roman"/>
          <w:sz w:val="24"/>
          <w:szCs w:val="24"/>
          <w:lang w:val="sr-Cyrl-CS"/>
        </w:rPr>
        <w:t>Протозо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C71211">
        <w:rPr>
          <w:rFonts w:ascii="Times New Roman" w:hAnsi="Times New Roman" w:cs="Times New Roman"/>
          <w:sz w:val="24"/>
          <w:szCs w:val="24"/>
          <w:lang w:val="sr-Cyrl-CS"/>
        </w:rPr>
        <w:t xml:space="preserve"> утичу на квалитет (плодност) земљишта. Хранећи се земљишним 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C71211">
        <w:rPr>
          <w:rFonts w:ascii="Times New Roman" w:hAnsi="Times New Roman" w:cs="Times New Roman"/>
          <w:sz w:val="24"/>
          <w:szCs w:val="24"/>
          <w:lang w:val="sr-Cyrl-CS"/>
        </w:rPr>
        <w:t xml:space="preserve">актеријама, протозое регулишу бактеријску популацију, одржавајући их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C71211">
        <w:rPr>
          <w:rFonts w:ascii="Times New Roman" w:hAnsi="Times New Roman" w:cs="Times New Roman"/>
          <w:sz w:val="24"/>
          <w:szCs w:val="24"/>
          <w:lang w:val="sr-Cyrl-CS"/>
        </w:rPr>
        <w:t>физиолошки младим колонијама</w:t>
      </w:r>
      <w:r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Pr="00C71211">
        <w:rPr>
          <w:rFonts w:ascii="Times New Roman" w:hAnsi="Times New Roman" w:cs="Times New Roman"/>
          <w:sz w:val="24"/>
          <w:szCs w:val="24"/>
          <w:lang w:val="sr-Cyrl-CS"/>
        </w:rPr>
        <w:t>. Ово повећава брзину деловања бактерија као декомпозитор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71211">
        <w:rPr>
          <w:rFonts w:ascii="Times New Roman" w:hAnsi="Times New Roman" w:cs="Times New Roman"/>
          <w:sz w:val="24"/>
          <w:szCs w:val="24"/>
          <w:lang w:val="sr-Cyrl-CS"/>
        </w:rPr>
        <w:t xml:space="preserve"> (разлагача) органске супстанце. Истраживања су показала да присуство протозоа у земљишту повећава раст биљака.</w:t>
      </w:r>
    </w:p>
    <w:p w:rsidR="00BA5F63" w:rsidRDefault="00BA5F63" w:rsidP="00C7121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9116"/>
      </w:tblGrid>
      <w:tr w:rsidR="00BA5F63" w:rsidTr="00B63A75">
        <w:tc>
          <w:tcPr>
            <w:tcW w:w="1566" w:type="dxa"/>
          </w:tcPr>
          <w:p w:rsidR="00BA5F63" w:rsidRDefault="00BA5F63" w:rsidP="00B63A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5F63">
              <w:rPr>
                <w:rFonts w:ascii="Times New Roman" w:hAnsi="Times New Roman" w:cs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2B0D2D2A" wp14:editId="338A7388">
                  <wp:extent cx="853724" cy="1050966"/>
                  <wp:effectExtent l="0" t="0" r="3810" b="0"/>
                  <wp:docPr id="23" name="Picture 23" descr="C:\Users\Marina\Desktop\vorticella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arina\Desktop\vorticella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55" cy="105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6" w:type="dxa"/>
          </w:tcPr>
          <w:p w:rsidR="00BA5F63" w:rsidRDefault="00BA5F63" w:rsidP="00B63A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Неке врсте протозоа користе друге ситне животињице бара и рукаваца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као такси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! </w:t>
            </w:r>
          </w:p>
          <w:p w:rsidR="00BA5F63" w:rsidRDefault="00BA5F63" w:rsidP="00B63A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 микроскопом можете видети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неке 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врсте протозоа, као што је </w:t>
            </w:r>
            <w:r w:rsidRPr="00336D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Vorticel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</w:t>
            </w:r>
            <w:r w:rsidRPr="00336D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расту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леђима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водених рачића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водених бува. </w:t>
            </w:r>
            <w:r w:rsidRPr="00336D6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Vorticel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</w:t>
            </w:r>
            <w:r w:rsidRPr="00336D6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a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добија бесплатну вожњу, а и храну налази успут. Друга врста </w:t>
            </w:r>
            <w:r w:rsidRPr="00336D6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Vortice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</w:t>
            </w:r>
            <w:r w:rsidRPr="00336D6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la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допушта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се у њеном телу - ћелији, насел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одређене врсте алги. Неки научници верују да се </w:t>
            </w:r>
            <w:r w:rsidRPr="00336D6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Vortice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</w:t>
            </w:r>
            <w:r w:rsidRPr="00336D6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lе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понашају као пољопривредници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гајећи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“ 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алге. То значи да оне користе храну произведену од алги у</w:t>
            </w:r>
          </w:p>
        </w:tc>
      </w:tr>
    </w:tbl>
    <w:p w:rsidR="00BA5F63" w:rsidRPr="00C71211" w:rsidRDefault="00BA5F63" w:rsidP="00BA5F6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71211">
        <w:rPr>
          <w:rFonts w:ascii="Times New Roman" w:hAnsi="Times New Roman" w:cs="Times New Roman"/>
          <w:sz w:val="24"/>
          <w:szCs w:val="24"/>
          <w:lang w:val="sr-Cyrl-CS"/>
        </w:rPr>
        <w:t>својој исхрани.</w:t>
      </w:r>
    </w:p>
    <w:p w:rsidR="00BA5F63" w:rsidRDefault="00BA5F63" w:rsidP="00C7121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BA5F63" w:rsidRPr="00BA5F63" w:rsidRDefault="00BA5F63" w:rsidP="00C71211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C71211">
        <w:rPr>
          <w:rFonts w:ascii="Times New Roman" w:hAnsi="Times New Roman" w:cs="Times New Roman"/>
          <w:sz w:val="24"/>
          <w:szCs w:val="24"/>
          <w:lang w:val="sr-Cyrl-CS"/>
        </w:rPr>
        <w:t xml:space="preserve">Протозое су корисни чланови у ланцу исхране. Хране се детритусом, алгама, другим протозоама и многим врстама бактерија. Како су бактерије једина жива бића која могу усвојити азот, протозое својом исхраном доприносе преношење овог животно важног елемента. </w:t>
      </w:r>
      <w:r w:rsidRPr="00C71211">
        <w:rPr>
          <w:rFonts w:ascii="Times New Roman" w:hAnsi="Times New Roman" w:cs="Times New Roman"/>
          <w:sz w:val="24"/>
          <w:szCs w:val="24"/>
          <w:lang w:val="sr-Cyrl-CS"/>
        </w:rPr>
        <w:c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98"/>
      </w:tblGrid>
      <w:tr w:rsidR="00BA5F63" w:rsidRPr="00C71211" w:rsidTr="00BA5F63">
        <w:tc>
          <w:tcPr>
            <w:tcW w:w="1384" w:type="dxa"/>
          </w:tcPr>
          <w:p w:rsidR="00BA5F63" w:rsidRPr="00C71211" w:rsidRDefault="00BA5F63" w:rsidP="00BC7C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5F63">
              <w:rPr>
                <w:noProof/>
                <w:lang w:eastAsia="sr-Latn-RS"/>
              </w:rPr>
              <w:drawing>
                <wp:inline distT="0" distB="0" distL="0" distR="0" wp14:anchorId="6CC8236C" wp14:editId="5503D8B9">
                  <wp:extent cx="724395" cy="971257"/>
                  <wp:effectExtent l="0" t="0" r="0" b="635"/>
                  <wp:docPr id="22" name="Picture 22" descr="https://encrypted-tbn3.gstatic.com/images?q=tbn:ANd9GcT8UM-TdaEeZkd0PeZjHoRKTR7FW3L19OF0UxRx1JvFOwtMJmfni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8UM-TdaEeZkd0PeZjHoRKTR7FW3L19OF0UxRx1JvFOwtMJmfni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82" cy="97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BA5F63" w:rsidRPr="00C71211" w:rsidRDefault="00BA5F63" w:rsidP="00BA5F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Термити користите протозое да би сварили целулозу.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Термити се хране биљним влакнима. Целулоза је богат извор енергије, али је и тешко сварљива. Термити су се због тога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ослонили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симбиотске врсте протозоа као што је </w:t>
            </w:r>
            <w:proofErr w:type="spellStart"/>
            <w:r w:rsidRPr="00BA5F6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Trichonympha</w:t>
            </w:r>
            <w:proofErr w:type="spellEnd"/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цревима термита ова протозоа разлаже целулозу и апсорбује крајње производе варења.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Али овом симбионтском односу није крај. На површини ћелија </w:t>
            </w:r>
            <w:r w:rsidRPr="00BA5F63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Trichonymph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живе симбионтске бактерије које производе ензиме потребне за варење целулозе.  </w:t>
            </w:r>
          </w:p>
        </w:tc>
      </w:tr>
    </w:tbl>
    <w:p w:rsidR="00C71211" w:rsidRPr="00C71211" w:rsidRDefault="00C71211" w:rsidP="00C7121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71211">
        <w:rPr>
          <w:rFonts w:ascii="Times New Roman" w:hAnsi="Times New Roman" w:cs="Times New Roman"/>
          <w:sz w:val="24"/>
          <w:szCs w:val="24"/>
          <w:lang w:val="sr-Cyrl-CS"/>
        </w:rPr>
        <w:t xml:space="preserve">Овај однос је један од најбољих примера симбиозе међу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различитим групама организмама</w:t>
      </w:r>
      <w:r w:rsidRPr="00C7121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C71211" w:rsidRPr="00C71211" w:rsidRDefault="00C71211" w:rsidP="00C7121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7121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296"/>
      </w:tblGrid>
      <w:tr w:rsidR="00BA5F63" w:rsidRPr="00C71211" w:rsidTr="00BA5F63">
        <w:tc>
          <w:tcPr>
            <w:tcW w:w="1386" w:type="dxa"/>
          </w:tcPr>
          <w:p w:rsidR="00BA5F63" w:rsidRPr="00C71211" w:rsidRDefault="00BA5F63" w:rsidP="00BE24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A5F6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7BA0E44D" wp14:editId="6663472C">
                  <wp:extent cx="742208" cy="708462"/>
                  <wp:effectExtent l="0" t="0" r="1270" b="0"/>
                  <wp:docPr id="24" name="Picture 24" descr="C:\Users\Marina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arina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178" cy="70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6" w:type="dxa"/>
          </w:tcPr>
          <w:p w:rsidR="00BA5F63" w:rsidRPr="00C71211" w:rsidRDefault="00BA5F63" w:rsidP="00BA5F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36D6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Heliozoa</w:t>
            </w:r>
            <w:proofErr w:type="spellEnd"/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 протозоа која изгледа као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фудбалска лопта са шиљцима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”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Шиљци су покривени лепљивим супстанцама које су отровне за друге протозое. Свако ко додирне ову протозоу бива одмах парализован. На овај начин </w:t>
            </w:r>
            <w:r w:rsidRPr="00336D6B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Heliozoa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лако долазе до хране.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C7121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Протозоама се хране водене буве, пљоснати црви, рачићи и многи други бескичмењаци.</w:t>
            </w:r>
          </w:p>
        </w:tc>
      </w:tr>
    </w:tbl>
    <w:p w:rsidR="00C71211" w:rsidRDefault="00BA5F63" w:rsidP="00C71211">
      <w:pPr>
        <w:pStyle w:val="NoSpacing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A5F6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3820C9" w:rsidRPr="003820C9" w:rsidRDefault="003820C9" w:rsidP="00C7121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Шта из ових текстова можете да закључите о протистима (грађа, начин живота, тип исхране, улога у природи...)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sr-Cyrl-RS"/>
        </w:rPr>
        <w:t>?</w:t>
      </w:r>
    </w:p>
    <w:sectPr w:rsidR="003820C9" w:rsidRPr="003820C9" w:rsidSect="00336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694C"/>
    <w:multiLevelType w:val="multilevel"/>
    <w:tmpl w:val="D16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42253F"/>
    <w:multiLevelType w:val="hybridMultilevel"/>
    <w:tmpl w:val="403CBA0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B2"/>
    <w:rsid w:val="00336D6B"/>
    <w:rsid w:val="003820C9"/>
    <w:rsid w:val="006C22A4"/>
    <w:rsid w:val="00780475"/>
    <w:rsid w:val="007C6DB2"/>
    <w:rsid w:val="008E2183"/>
    <w:rsid w:val="00995B5D"/>
    <w:rsid w:val="00AE39A0"/>
    <w:rsid w:val="00BA5F63"/>
    <w:rsid w:val="00C7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6DB2"/>
    <w:pPr>
      <w:spacing w:after="0" w:line="240" w:lineRule="auto"/>
    </w:pPr>
  </w:style>
  <w:style w:type="character" w:styleId="PageNumber">
    <w:name w:val="page number"/>
    <w:basedOn w:val="DefaultParagraphFont"/>
    <w:rsid w:val="006C22A4"/>
  </w:style>
  <w:style w:type="table" w:styleId="TableGrid">
    <w:name w:val="Table Grid"/>
    <w:basedOn w:val="TableNormal"/>
    <w:uiPriority w:val="59"/>
    <w:rsid w:val="0033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6DB2"/>
    <w:pPr>
      <w:spacing w:after="0" w:line="240" w:lineRule="auto"/>
    </w:pPr>
  </w:style>
  <w:style w:type="character" w:styleId="PageNumber">
    <w:name w:val="page number"/>
    <w:basedOn w:val="DefaultParagraphFont"/>
    <w:rsid w:val="006C22A4"/>
  </w:style>
  <w:style w:type="table" w:styleId="TableGrid">
    <w:name w:val="Table Grid"/>
    <w:basedOn w:val="TableNormal"/>
    <w:uiPriority w:val="59"/>
    <w:rsid w:val="0033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2014-09-21T17:32:00Z</dcterms:created>
  <dcterms:modified xsi:type="dcterms:W3CDTF">2014-09-21T17:32:00Z</dcterms:modified>
</cp:coreProperties>
</file>